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B2C" w:rsidRPr="00856B2C" w:rsidRDefault="00856B2C" w:rsidP="00262E9B">
      <w:pPr>
        <w:spacing w:line="360" w:lineRule="auto"/>
        <w:jc w:val="center"/>
        <w:rPr>
          <w:rFonts w:cs="David"/>
          <w:b/>
          <w:bCs/>
          <w:sz w:val="26"/>
          <w:szCs w:val="26"/>
          <w:u w:val="single"/>
          <w:rtl/>
        </w:rPr>
      </w:pPr>
      <w:r w:rsidRPr="00856B2C">
        <w:rPr>
          <w:rFonts w:cs="David" w:hint="cs"/>
          <w:b/>
          <w:bCs/>
          <w:sz w:val="26"/>
          <w:szCs w:val="26"/>
          <w:u w:val="single"/>
          <w:rtl/>
        </w:rPr>
        <w:t xml:space="preserve">ע"ע (ארצי) </w:t>
      </w:r>
      <w:bookmarkStart w:id="0" w:name="_GoBack"/>
      <w:r w:rsidRPr="00856B2C">
        <w:rPr>
          <w:rFonts w:cs="David" w:hint="cs"/>
          <w:b/>
          <w:bCs/>
          <w:sz w:val="26"/>
          <w:szCs w:val="26"/>
          <w:u w:val="single"/>
          <w:rtl/>
        </w:rPr>
        <w:t>11297-04-23</w:t>
      </w:r>
      <w:bookmarkEnd w:id="0"/>
      <w:r w:rsidRPr="00856B2C">
        <w:rPr>
          <w:rFonts w:cs="David" w:hint="cs"/>
          <w:b/>
          <w:bCs/>
          <w:sz w:val="26"/>
          <w:szCs w:val="26"/>
          <w:u w:val="single"/>
          <w:rtl/>
        </w:rPr>
        <w:t xml:space="preserve"> כהן </w:t>
      </w:r>
      <w:r w:rsidRPr="00856B2C">
        <w:rPr>
          <w:rFonts w:cs="David"/>
          <w:b/>
          <w:bCs/>
          <w:sz w:val="26"/>
          <w:szCs w:val="26"/>
          <w:u w:val="single"/>
          <w:rtl/>
        </w:rPr>
        <w:t>–</w:t>
      </w:r>
      <w:r w:rsidRPr="00856B2C">
        <w:rPr>
          <w:rFonts w:cs="David" w:hint="cs"/>
          <w:b/>
          <w:bCs/>
          <w:sz w:val="26"/>
          <w:szCs w:val="26"/>
          <w:u w:val="single"/>
          <w:rtl/>
        </w:rPr>
        <w:t xml:space="preserve"> </w:t>
      </w:r>
      <w:r w:rsidR="00262E9B">
        <w:rPr>
          <w:rFonts w:cs="David" w:hint="cs"/>
          <w:b/>
          <w:bCs/>
          <w:sz w:val="26"/>
          <w:szCs w:val="26"/>
          <w:u w:val="single"/>
          <w:rtl/>
        </w:rPr>
        <w:t>מדינת ישראל</w:t>
      </w:r>
      <w:r w:rsidRPr="00856B2C">
        <w:rPr>
          <w:rFonts w:cs="David" w:hint="cs"/>
          <w:b/>
          <w:bCs/>
          <w:sz w:val="26"/>
          <w:szCs w:val="26"/>
          <w:u w:val="single"/>
          <w:rtl/>
        </w:rPr>
        <w:t xml:space="preserve"> </w:t>
      </w:r>
    </w:p>
    <w:p w:rsidR="00856B2C" w:rsidRPr="00856B2C" w:rsidRDefault="00856B2C" w:rsidP="00856B2C">
      <w:pPr>
        <w:spacing w:line="360" w:lineRule="auto"/>
        <w:jc w:val="center"/>
        <w:rPr>
          <w:rFonts w:cs="David"/>
          <w:b/>
          <w:bCs/>
          <w:sz w:val="26"/>
          <w:szCs w:val="26"/>
          <w:u w:val="single"/>
          <w:rtl/>
        </w:rPr>
      </w:pPr>
      <w:r w:rsidRPr="00856B2C">
        <w:rPr>
          <w:rFonts w:cs="David" w:hint="cs"/>
          <w:b/>
          <w:bCs/>
          <w:sz w:val="26"/>
          <w:szCs w:val="26"/>
          <w:u w:val="single"/>
          <w:rtl/>
        </w:rPr>
        <w:t>תקציר</w:t>
      </w:r>
    </w:p>
    <w:p w:rsidR="00422E41" w:rsidRPr="00867AAD" w:rsidRDefault="00B72C63" w:rsidP="00B845E3">
      <w:pPr>
        <w:spacing w:before="240" w:after="240" w:line="360" w:lineRule="auto"/>
        <w:jc w:val="both"/>
        <w:rPr>
          <w:rFonts w:ascii="David" w:hAnsi="David" w:cs="David"/>
          <w:b/>
          <w:bCs/>
          <w:sz w:val="24"/>
          <w:szCs w:val="24"/>
          <w:rtl/>
        </w:rPr>
      </w:pPr>
      <w:r w:rsidRPr="00867AAD">
        <w:rPr>
          <w:rFonts w:ascii="David" w:hAnsi="David" w:cs="David"/>
          <w:b/>
          <w:bCs/>
          <w:sz w:val="24"/>
          <w:szCs w:val="24"/>
          <w:rtl/>
        </w:rPr>
        <w:t xml:space="preserve">בית הדין הארצי </w:t>
      </w:r>
      <w:r w:rsidR="00F3078D">
        <w:rPr>
          <w:rFonts w:ascii="David" w:hAnsi="David" w:cs="David" w:hint="cs"/>
          <w:b/>
          <w:bCs/>
          <w:sz w:val="24"/>
          <w:szCs w:val="24"/>
          <w:rtl/>
        </w:rPr>
        <w:t xml:space="preserve">(הנשיאה ורדה וירט ליבנה סגן הנשיאה השופט אילן </w:t>
      </w:r>
      <w:proofErr w:type="spellStart"/>
      <w:r w:rsidR="00F3078D">
        <w:rPr>
          <w:rFonts w:ascii="David" w:hAnsi="David" w:cs="David" w:hint="cs"/>
          <w:b/>
          <w:bCs/>
          <w:sz w:val="24"/>
          <w:szCs w:val="24"/>
          <w:rtl/>
        </w:rPr>
        <w:t>איטח</w:t>
      </w:r>
      <w:proofErr w:type="spellEnd"/>
      <w:r w:rsidR="00F3078D">
        <w:rPr>
          <w:rFonts w:ascii="David" w:hAnsi="David" w:cs="David" w:hint="cs"/>
          <w:b/>
          <w:bCs/>
          <w:sz w:val="24"/>
          <w:szCs w:val="24"/>
          <w:rtl/>
        </w:rPr>
        <w:t xml:space="preserve"> השופטת לאה </w:t>
      </w:r>
      <w:proofErr w:type="spellStart"/>
      <w:r w:rsidR="00F3078D">
        <w:rPr>
          <w:rFonts w:ascii="David" w:hAnsi="David" w:cs="David" w:hint="cs"/>
          <w:b/>
          <w:bCs/>
          <w:sz w:val="24"/>
          <w:szCs w:val="24"/>
          <w:rtl/>
        </w:rPr>
        <w:t>גליקסמן</w:t>
      </w:r>
      <w:proofErr w:type="spellEnd"/>
      <w:r w:rsidR="00F3078D">
        <w:rPr>
          <w:rFonts w:ascii="David" w:hAnsi="David" w:cs="David" w:hint="cs"/>
          <w:b/>
          <w:bCs/>
          <w:sz w:val="24"/>
          <w:szCs w:val="24"/>
          <w:rtl/>
        </w:rPr>
        <w:t xml:space="preserve"> ונציגי הציבור מר דורון </w:t>
      </w:r>
      <w:proofErr w:type="spellStart"/>
      <w:r w:rsidR="00F3078D">
        <w:rPr>
          <w:rFonts w:ascii="David" w:hAnsi="David" w:cs="David" w:hint="cs"/>
          <w:b/>
          <w:bCs/>
          <w:sz w:val="24"/>
          <w:szCs w:val="24"/>
          <w:rtl/>
        </w:rPr>
        <w:t>קמפלר</w:t>
      </w:r>
      <w:proofErr w:type="spellEnd"/>
      <w:r w:rsidR="00F3078D">
        <w:rPr>
          <w:rFonts w:ascii="David" w:hAnsi="David" w:cs="David" w:hint="cs"/>
          <w:b/>
          <w:bCs/>
          <w:sz w:val="24"/>
          <w:szCs w:val="24"/>
          <w:rtl/>
        </w:rPr>
        <w:t xml:space="preserve"> וגב</w:t>
      </w:r>
      <w:r w:rsidR="00F3078D">
        <w:rPr>
          <w:rFonts w:ascii="David" w:hAnsi="David" w:cs="David"/>
          <w:b/>
          <w:bCs/>
          <w:sz w:val="24"/>
          <w:szCs w:val="24"/>
        </w:rPr>
        <w:t>'</w:t>
      </w:r>
      <w:r w:rsidR="00F3078D">
        <w:rPr>
          <w:rFonts w:ascii="David" w:hAnsi="David" w:cs="David" w:hint="cs"/>
          <w:b/>
          <w:bCs/>
          <w:sz w:val="24"/>
          <w:szCs w:val="24"/>
          <w:rtl/>
        </w:rPr>
        <w:t xml:space="preserve"> ורדה אדוארדס)  </w:t>
      </w:r>
      <w:r w:rsidRPr="00867AAD">
        <w:rPr>
          <w:rFonts w:ascii="David" w:hAnsi="David" w:cs="David"/>
          <w:b/>
          <w:bCs/>
          <w:sz w:val="24"/>
          <w:szCs w:val="24"/>
          <w:rtl/>
        </w:rPr>
        <w:t>דחה את ערע</w:t>
      </w:r>
      <w:r w:rsidRPr="00867AAD">
        <w:rPr>
          <w:rFonts w:ascii="David" w:hAnsi="David" w:cs="David" w:hint="cs"/>
          <w:b/>
          <w:bCs/>
          <w:sz w:val="24"/>
          <w:szCs w:val="24"/>
          <w:rtl/>
        </w:rPr>
        <w:t xml:space="preserve">ורם של עו"ד שאול כהן, </w:t>
      </w:r>
      <w:r w:rsidRPr="00867AAD">
        <w:rPr>
          <w:rFonts w:ascii="David" w:hAnsi="David" w:cs="David"/>
          <w:b/>
          <w:bCs/>
          <w:sz w:val="24"/>
          <w:szCs w:val="24"/>
          <w:rtl/>
        </w:rPr>
        <w:t>פרקליט בשירות המדינה</w:t>
      </w:r>
      <w:r w:rsidRPr="00867AAD">
        <w:rPr>
          <w:rFonts w:ascii="David" w:hAnsi="David" w:cs="David" w:hint="cs"/>
          <w:b/>
          <w:bCs/>
          <w:sz w:val="24"/>
          <w:szCs w:val="24"/>
          <w:rtl/>
        </w:rPr>
        <w:t>, ושל עמותת "משמר הדמוקרטיה הישראלית"</w:t>
      </w:r>
      <w:r w:rsidR="00233C8B" w:rsidRPr="00867AAD">
        <w:rPr>
          <w:rFonts w:ascii="David" w:hAnsi="David" w:cs="David" w:hint="cs"/>
          <w:b/>
          <w:bCs/>
          <w:sz w:val="24"/>
          <w:szCs w:val="24"/>
          <w:rtl/>
        </w:rPr>
        <w:t>, וקבע</w:t>
      </w:r>
      <w:r w:rsidRPr="00867AAD">
        <w:rPr>
          <w:rFonts w:ascii="David" w:hAnsi="David" w:cs="David"/>
          <w:b/>
          <w:bCs/>
          <w:sz w:val="24"/>
          <w:szCs w:val="24"/>
          <w:rtl/>
        </w:rPr>
        <w:t xml:space="preserve"> כי על עובדי השירות המשפטי בשירות המדינה חל איסור </w:t>
      </w:r>
      <w:r w:rsidRPr="00867AAD">
        <w:rPr>
          <w:rFonts w:ascii="David" w:hAnsi="David" w:cs="David" w:hint="cs"/>
          <w:b/>
          <w:bCs/>
          <w:sz w:val="24"/>
          <w:szCs w:val="24"/>
          <w:rtl/>
        </w:rPr>
        <w:t xml:space="preserve">להשתתף בהפגנות </w:t>
      </w:r>
      <w:r w:rsidR="00F3078D">
        <w:rPr>
          <w:rFonts w:ascii="David" w:hAnsi="David" w:cs="David" w:hint="cs"/>
          <w:b/>
          <w:bCs/>
          <w:sz w:val="24"/>
          <w:szCs w:val="24"/>
          <w:rtl/>
        </w:rPr>
        <w:t>המחאה כ</w:t>
      </w:r>
      <w:r w:rsidRPr="00867AAD">
        <w:rPr>
          <w:rFonts w:ascii="David" w:hAnsi="David" w:cs="David" w:hint="cs"/>
          <w:b/>
          <w:bCs/>
          <w:sz w:val="24"/>
          <w:szCs w:val="24"/>
          <w:rtl/>
        </w:rPr>
        <w:t xml:space="preserve">נגד </w:t>
      </w:r>
      <w:r w:rsidR="00F3078D">
        <w:rPr>
          <w:rFonts w:ascii="David" w:hAnsi="David" w:cs="David" w:hint="cs"/>
          <w:b/>
          <w:bCs/>
          <w:sz w:val="24"/>
          <w:szCs w:val="24"/>
          <w:rtl/>
        </w:rPr>
        <w:t xml:space="preserve"> מדיניות</w:t>
      </w:r>
      <w:r w:rsidR="00331431">
        <w:rPr>
          <w:rFonts w:ascii="David" w:hAnsi="David" w:cs="David" w:hint="cs"/>
          <w:b/>
          <w:bCs/>
          <w:sz w:val="24"/>
          <w:szCs w:val="24"/>
          <w:rtl/>
        </w:rPr>
        <w:t xml:space="preserve"> ותוכניות</w:t>
      </w:r>
      <w:r w:rsidR="00B845E3">
        <w:rPr>
          <w:rFonts w:ascii="David" w:hAnsi="David" w:cs="David" w:hint="cs"/>
          <w:b/>
          <w:bCs/>
          <w:sz w:val="24"/>
          <w:szCs w:val="24"/>
          <w:rtl/>
        </w:rPr>
        <w:t xml:space="preserve"> הממשלה</w:t>
      </w:r>
      <w:r w:rsidRPr="00867AAD">
        <w:rPr>
          <w:rFonts w:ascii="David" w:hAnsi="David" w:cs="David" w:hint="cs"/>
          <w:b/>
          <w:bCs/>
          <w:sz w:val="24"/>
          <w:szCs w:val="24"/>
          <w:rtl/>
        </w:rPr>
        <w:t xml:space="preserve">, </w:t>
      </w:r>
      <w:r w:rsidR="00B845E3">
        <w:rPr>
          <w:rFonts w:ascii="David" w:hAnsi="David" w:cs="David" w:hint="cs"/>
          <w:b/>
          <w:bCs/>
          <w:sz w:val="24"/>
          <w:szCs w:val="24"/>
          <w:rtl/>
        </w:rPr>
        <w:t>ה</w:t>
      </w:r>
      <w:r w:rsidRPr="00867AAD">
        <w:rPr>
          <w:rFonts w:ascii="David" w:hAnsi="David" w:cs="David" w:hint="cs"/>
          <w:b/>
          <w:bCs/>
          <w:sz w:val="24"/>
          <w:szCs w:val="24"/>
          <w:rtl/>
        </w:rPr>
        <w:t>בעל</w:t>
      </w:r>
      <w:r w:rsidR="00B845E3">
        <w:rPr>
          <w:rFonts w:ascii="David" w:hAnsi="David" w:cs="David" w:hint="cs"/>
          <w:b/>
          <w:bCs/>
          <w:sz w:val="24"/>
          <w:szCs w:val="24"/>
          <w:rtl/>
        </w:rPr>
        <w:t>ו</w:t>
      </w:r>
      <w:r w:rsidRPr="00867AAD">
        <w:rPr>
          <w:rFonts w:ascii="David" w:hAnsi="David" w:cs="David" w:hint="cs"/>
          <w:b/>
          <w:bCs/>
          <w:sz w:val="24"/>
          <w:szCs w:val="24"/>
          <w:rtl/>
        </w:rPr>
        <w:t xml:space="preserve">ת "אופי מדיני". </w:t>
      </w:r>
    </w:p>
    <w:p w:rsidR="00233C8B" w:rsidRDefault="00867AAD" w:rsidP="000771BD">
      <w:pPr>
        <w:spacing w:before="240" w:after="240" w:line="360" w:lineRule="auto"/>
        <w:jc w:val="both"/>
        <w:rPr>
          <w:rFonts w:ascii="David" w:hAnsi="David" w:cs="David"/>
          <w:sz w:val="24"/>
          <w:szCs w:val="24"/>
          <w:rtl/>
        </w:rPr>
      </w:pPr>
      <w:r w:rsidRPr="00867AAD">
        <w:rPr>
          <w:rFonts w:ascii="David" w:hAnsi="David" w:cs="David" w:hint="cs"/>
          <w:sz w:val="24"/>
          <w:szCs w:val="24"/>
          <w:u w:val="single"/>
          <w:rtl/>
        </w:rPr>
        <w:t>רקע עובדתי</w:t>
      </w:r>
      <w:r>
        <w:rPr>
          <w:rFonts w:ascii="David" w:hAnsi="David" w:cs="David" w:hint="cs"/>
          <w:sz w:val="24"/>
          <w:szCs w:val="24"/>
          <w:rtl/>
        </w:rPr>
        <w:t xml:space="preserve">: </w:t>
      </w:r>
      <w:r w:rsidR="00233C8B" w:rsidRPr="00867AAD">
        <w:rPr>
          <w:rFonts w:ascii="David" w:hAnsi="David" w:cs="David" w:hint="cs"/>
          <w:sz w:val="24"/>
          <w:szCs w:val="24"/>
          <w:rtl/>
        </w:rPr>
        <w:t>עו</w:t>
      </w:r>
      <w:r w:rsidR="00233C8B">
        <w:rPr>
          <w:rFonts w:ascii="David" w:hAnsi="David" w:cs="David" w:hint="cs"/>
          <w:sz w:val="24"/>
          <w:szCs w:val="24"/>
          <w:rtl/>
        </w:rPr>
        <w:t xml:space="preserve">"ד כהן מועסק כפרקליט בפרקליטות מחוז חיפה כ-28 שנים ומייצג את המדינה בערכאות השונות. על רקע הפגנות המחאה המתקיימות ברחבי הארץ נגד תכנית הממשלה לשינויים </w:t>
      </w:r>
      <w:r w:rsidR="00F3078D">
        <w:rPr>
          <w:rFonts w:ascii="David" w:hAnsi="David" w:cs="David" w:hint="cs"/>
          <w:sz w:val="24"/>
          <w:szCs w:val="24"/>
          <w:rtl/>
        </w:rPr>
        <w:t>בחקיקה</w:t>
      </w:r>
      <w:r w:rsidR="00233C8B">
        <w:rPr>
          <w:rFonts w:ascii="David" w:hAnsi="David" w:cs="David" w:hint="cs"/>
          <w:sz w:val="24"/>
          <w:szCs w:val="24"/>
          <w:rtl/>
        </w:rPr>
        <w:t xml:space="preserve">, ביקש עו"ד </w:t>
      </w:r>
      <w:r w:rsidR="000771BD">
        <w:rPr>
          <w:rFonts w:ascii="David" w:hAnsi="David" w:cs="David" w:hint="cs"/>
          <w:sz w:val="24"/>
          <w:szCs w:val="24"/>
          <w:rtl/>
        </w:rPr>
        <w:t>אישור</w:t>
      </w:r>
      <w:r w:rsidR="00233C8B">
        <w:rPr>
          <w:rFonts w:ascii="David" w:hAnsi="David" w:cs="David" w:hint="cs"/>
          <w:sz w:val="24"/>
          <w:szCs w:val="24"/>
          <w:rtl/>
        </w:rPr>
        <w:t xml:space="preserve"> להשתתף בהפגנות</w:t>
      </w:r>
      <w:r w:rsidR="00097FE1">
        <w:rPr>
          <w:rFonts w:ascii="David" w:hAnsi="David" w:cs="David" w:hint="cs"/>
          <w:sz w:val="24"/>
          <w:szCs w:val="24"/>
          <w:rtl/>
        </w:rPr>
        <w:t>.</w:t>
      </w:r>
      <w:r w:rsidR="00233C8B">
        <w:rPr>
          <w:rFonts w:ascii="David" w:hAnsi="David" w:cs="David" w:hint="cs"/>
          <w:sz w:val="24"/>
          <w:szCs w:val="24"/>
          <w:rtl/>
        </w:rPr>
        <w:t xml:space="preserve"> לאחר בדיקת הלשכה המשפטית בנציבות שירות המדינה, נאמר לו כי לא ניתן לקבל את בקשתו, משום שעל פי הוראות </w:t>
      </w:r>
      <w:proofErr w:type="spellStart"/>
      <w:r w:rsidR="00233C8B">
        <w:rPr>
          <w:rFonts w:ascii="David" w:hAnsi="David" w:cs="David" w:hint="cs"/>
          <w:sz w:val="24"/>
          <w:szCs w:val="24"/>
          <w:rtl/>
        </w:rPr>
        <w:t>התקשי"ר</w:t>
      </w:r>
      <w:proofErr w:type="spellEnd"/>
      <w:r w:rsidR="00233C8B">
        <w:rPr>
          <w:rFonts w:ascii="David" w:hAnsi="David" w:cs="David" w:hint="cs"/>
          <w:sz w:val="24"/>
          <w:szCs w:val="24"/>
          <w:rtl/>
        </w:rPr>
        <w:t xml:space="preserve"> נאסר עליו להפגין. עו"ד כהן הגיש לבית הדין האזורי לעבודה בחיפה בקשה למתן "צו עשה" ולמתן סעד זמני, אולם בקשתו נדחתה. בית הדין האזורי קיבל את עמדת המדינה וקבע כי מדובר בהחלטה מנהלית שאינה חורגת ממתחם הסבירות ומצדיקה את התערבותו. כן קבע, כי בהוראות החוק </w:t>
      </w:r>
      <w:proofErr w:type="spellStart"/>
      <w:r w:rsidR="00233C8B">
        <w:rPr>
          <w:rFonts w:ascii="David" w:hAnsi="David" w:cs="David" w:hint="cs"/>
          <w:sz w:val="24"/>
          <w:szCs w:val="24"/>
          <w:rtl/>
        </w:rPr>
        <w:t>והתקשי"ר</w:t>
      </w:r>
      <w:proofErr w:type="spellEnd"/>
      <w:r w:rsidR="00233C8B">
        <w:rPr>
          <w:rFonts w:ascii="David" w:hAnsi="David" w:cs="David" w:hint="cs"/>
          <w:sz w:val="24"/>
          <w:szCs w:val="24"/>
          <w:rtl/>
        </w:rPr>
        <w:t xml:space="preserve"> נקבע מפורשות כי על עובדי השירות המשפטי חל איסור להשתתף בהפגנה בעלת "אופי מדיני", וכי ההפגנות נגד תכנית הממשלה הינן הפגנות בעלות "אופי מדיני".</w:t>
      </w:r>
    </w:p>
    <w:p w:rsidR="00233C8B" w:rsidRDefault="00233C8B" w:rsidP="000771BD">
      <w:pPr>
        <w:spacing w:before="240" w:after="240" w:line="360" w:lineRule="auto"/>
        <w:jc w:val="both"/>
        <w:rPr>
          <w:rFonts w:ascii="David" w:hAnsi="David" w:cs="David"/>
          <w:sz w:val="24"/>
          <w:szCs w:val="24"/>
          <w:rtl/>
        </w:rPr>
      </w:pPr>
      <w:r>
        <w:rPr>
          <w:rFonts w:ascii="David" w:hAnsi="David" w:cs="David" w:hint="cs"/>
          <w:sz w:val="24"/>
          <w:szCs w:val="24"/>
          <w:rtl/>
        </w:rPr>
        <w:t xml:space="preserve">במסגרת הערעור, דן בית הדין הארצי </w:t>
      </w:r>
      <w:r w:rsidRPr="00233C8B">
        <w:rPr>
          <w:rFonts w:ascii="David" w:hAnsi="David" w:cs="David" w:hint="cs"/>
          <w:b/>
          <w:bCs/>
          <w:sz w:val="24"/>
          <w:szCs w:val="24"/>
          <w:rtl/>
        </w:rPr>
        <w:t>לראשונה</w:t>
      </w:r>
      <w:r>
        <w:rPr>
          <w:rFonts w:ascii="David" w:hAnsi="David" w:cs="David" w:hint="cs"/>
          <w:sz w:val="24"/>
          <w:szCs w:val="24"/>
          <w:rtl/>
        </w:rPr>
        <w:t xml:space="preserve"> בשאלה מהי הפגנה בעלת "אופי מדיני" כמשמעותה בחוק שירות המדינה (סיוג פעילות מפלגתית ומגבית כספים), תשי"ט- 1959 ומהם גבולות חופש הביטוי של עובדי המדינה בכלל ועובדי השירות המשפטי בפרט. </w:t>
      </w:r>
      <w:r w:rsidR="00097FE1">
        <w:rPr>
          <w:rFonts w:ascii="David" w:hAnsi="David" w:cs="David" w:hint="cs"/>
          <w:sz w:val="24"/>
          <w:szCs w:val="24"/>
          <w:rtl/>
        </w:rPr>
        <w:t>המערערים טענו</w:t>
      </w:r>
      <w:r w:rsidR="000771BD">
        <w:rPr>
          <w:rFonts w:ascii="David" w:hAnsi="David" w:cs="David" w:hint="cs"/>
          <w:sz w:val="24"/>
          <w:szCs w:val="24"/>
          <w:rtl/>
        </w:rPr>
        <w:t>,</w:t>
      </w:r>
      <w:r w:rsidR="00097FE1">
        <w:rPr>
          <w:rFonts w:ascii="David" w:hAnsi="David" w:cs="David" w:hint="cs"/>
          <w:sz w:val="24"/>
          <w:szCs w:val="24"/>
          <w:rtl/>
        </w:rPr>
        <w:t xml:space="preserve"> כי </w:t>
      </w:r>
      <w:r w:rsidR="000B62C3">
        <w:rPr>
          <w:rFonts w:ascii="David" w:hAnsi="David" w:cs="David" w:hint="cs"/>
          <w:sz w:val="24"/>
          <w:szCs w:val="24"/>
          <w:rtl/>
        </w:rPr>
        <w:t>ההפגנות</w:t>
      </w:r>
      <w:r w:rsidR="000771BD">
        <w:rPr>
          <w:rFonts w:ascii="David" w:hAnsi="David" w:cs="David" w:hint="cs"/>
          <w:sz w:val="24"/>
          <w:szCs w:val="24"/>
          <w:rtl/>
        </w:rPr>
        <w:t xml:space="preserve"> נגד תכנית הממשלה</w:t>
      </w:r>
      <w:r w:rsidR="000B62C3">
        <w:rPr>
          <w:rFonts w:ascii="David" w:hAnsi="David" w:cs="David" w:hint="cs"/>
          <w:sz w:val="24"/>
          <w:szCs w:val="24"/>
          <w:rtl/>
        </w:rPr>
        <w:t xml:space="preserve"> אינן בעלות "</w:t>
      </w:r>
      <w:r w:rsidR="000771BD">
        <w:rPr>
          <w:rFonts w:ascii="David" w:hAnsi="David" w:cs="David" w:hint="cs"/>
          <w:sz w:val="24"/>
          <w:szCs w:val="24"/>
          <w:rtl/>
        </w:rPr>
        <w:t xml:space="preserve">אופי מדיני", שכן הן נוגעות לשמירה על שלטון החוק והדמוקרטיה. המדינה טענה מאידך, </w:t>
      </w:r>
      <w:r w:rsidR="000B62C3">
        <w:rPr>
          <w:rFonts w:ascii="David" w:hAnsi="David" w:cs="David" w:hint="cs"/>
          <w:sz w:val="24"/>
          <w:szCs w:val="24"/>
          <w:rtl/>
        </w:rPr>
        <w:t xml:space="preserve">כי ההפגנות </w:t>
      </w:r>
      <w:r w:rsidR="000771BD">
        <w:rPr>
          <w:rFonts w:ascii="David" w:hAnsi="David" w:cs="David" w:hint="cs"/>
          <w:sz w:val="24"/>
          <w:szCs w:val="24"/>
          <w:rtl/>
        </w:rPr>
        <w:t xml:space="preserve">נגד תכנית הממשלה </w:t>
      </w:r>
      <w:r w:rsidR="000B62C3">
        <w:rPr>
          <w:rFonts w:ascii="David" w:hAnsi="David" w:cs="David" w:hint="cs"/>
          <w:sz w:val="24"/>
          <w:szCs w:val="24"/>
          <w:rtl/>
        </w:rPr>
        <w:t xml:space="preserve">בעלות "אופי מדיני" מובהק ומשכך יש לדחות את הערעור.  </w:t>
      </w:r>
    </w:p>
    <w:p w:rsidR="00233C8B" w:rsidRDefault="00097FE1" w:rsidP="00233C8B">
      <w:pPr>
        <w:spacing w:before="240" w:after="240" w:line="360" w:lineRule="auto"/>
        <w:jc w:val="both"/>
        <w:rPr>
          <w:rFonts w:ascii="David" w:hAnsi="David" w:cs="David"/>
          <w:sz w:val="24"/>
          <w:szCs w:val="24"/>
          <w:rtl/>
        </w:rPr>
      </w:pPr>
      <w:r>
        <w:rPr>
          <w:rFonts w:ascii="David" w:hAnsi="David" w:cs="David" w:hint="cs"/>
          <w:sz w:val="24"/>
          <w:szCs w:val="24"/>
          <w:rtl/>
        </w:rPr>
        <w:t>בפסק הדין,</w:t>
      </w:r>
      <w:r w:rsidR="00233C8B">
        <w:rPr>
          <w:rFonts w:ascii="David" w:hAnsi="David" w:cs="David" w:hint="cs"/>
          <w:sz w:val="24"/>
          <w:szCs w:val="24"/>
          <w:rtl/>
        </w:rPr>
        <w:t xml:space="preserve"> הבהיר בית הדין הארצי כי בשונה מקביעת בית הדין האזורי, ההחלטה שלא לאפשר לעו"ד כהן להשתתף בהפגנה </w:t>
      </w:r>
      <w:r w:rsidR="00233C8B" w:rsidRPr="00233C8B">
        <w:rPr>
          <w:rFonts w:ascii="David" w:hAnsi="David" w:cs="David" w:hint="cs"/>
          <w:b/>
          <w:bCs/>
          <w:sz w:val="24"/>
          <w:szCs w:val="24"/>
          <w:rtl/>
        </w:rPr>
        <w:t>אינה מהווה החלטה מנהלית</w:t>
      </w:r>
      <w:r w:rsidR="00233C8B">
        <w:rPr>
          <w:rFonts w:ascii="David" w:hAnsi="David" w:cs="David" w:hint="cs"/>
          <w:sz w:val="24"/>
          <w:szCs w:val="24"/>
          <w:rtl/>
        </w:rPr>
        <w:t xml:space="preserve"> </w:t>
      </w:r>
      <w:r w:rsidR="00233C8B">
        <w:rPr>
          <w:rFonts w:ascii="David" w:hAnsi="David" w:cs="David"/>
          <w:sz w:val="24"/>
          <w:szCs w:val="24"/>
          <w:rtl/>
        </w:rPr>
        <w:t>–</w:t>
      </w:r>
      <w:r w:rsidR="00233C8B">
        <w:rPr>
          <w:rFonts w:ascii="David" w:hAnsi="David" w:cs="David" w:hint="cs"/>
          <w:sz w:val="24"/>
          <w:szCs w:val="24"/>
          <w:rtl/>
        </w:rPr>
        <w:t xml:space="preserve"> כי אם החלטה של המדינה </w:t>
      </w:r>
      <w:r w:rsidR="00233C8B" w:rsidRPr="00233C8B">
        <w:rPr>
          <w:rFonts w:ascii="David" w:hAnsi="David" w:cs="David" w:hint="cs"/>
          <w:b/>
          <w:bCs/>
          <w:sz w:val="24"/>
          <w:szCs w:val="24"/>
          <w:rtl/>
        </w:rPr>
        <w:t>בכובעה כמעסיקה</w:t>
      </w:r>
      <w:r w:rsidR="00233C8B">
        <w:rPr>
          <w:rFonts w:ascii="David" w:hAnsi="David" w:cs="David" w:hint="cs"/>
          <w:b/>
          <w:bCs/>
          <w:sz w:val="24"/>
          <w:szCs w:val="24"/>
          <w:rtl/>
        </w:rPr>
        <w:t xml:space="preserve">. </w:t>
      </w:r>
      <w:r w:rsidR="00233C8B">
        <w:rPr>
          <w:rFonts w:ascii="David" w:hAnsi="David" w:cs="David" w:hint="cs"/>
          <w:sz w:val="24"/>
          <w:szCs w:val="24"/>
          <w:rtl/>
        </w:rPr>
        <w:t>בית הדין הארצי הטעים כי השאלה העומדת בפניו היא</w:t>
      </w:r>
      <w:r w:rsidR="00233C8B">
        <w:rPr>
          <w:rFonts w:ascii="David" w:hAnsi="David" w:cs="David" w:hint="cs"/>
          <w:b/>
          <w:bCs/>
          <w:sz w:val="24"/>
          <w:szCs w:val="24"/>
          <w:rtl/>
        </w:rPr>
        <w:t xml:space="preserve"> שאלה פרשנית</w:t>
      </w:r>
      <w:r w:rsidR="00233C8B">
        <w:rPr>
          <w:rFonts w:ascii="David" w:hAnsi="David" w:cs="David" w:hint="cs"/>
          <w:sz w:val="24"/>
          <w:szCs w:val="24"/>
          <w:rtl/>
        </w:rPr>
        <w:t xml:space="preserve"> וכי במסגרת פסק הדין יבחן האם המדינה</w:t>
      </w:r>
      <w:r w:rsidR="00F75756">
        <w:rPr>
          <w:rFonts w:ascii="David" w:hAnsi="David" w:cs="David" w:hint="cs"/>
          <w:sz w:val="24"/>
          <w:szCs w:val="24"/>
          <w:rtl/>
        </w:rPr>
        <w:t xml:space="preserve">, </w:t>
      </w:r>
      <w:r w:rsidR="00F75756">
        <w:rPr>
          <w:rFonts w:ascii="David" w:hAnsi="David" w:cs="David" w:hint="cs"/>
          <w:b/>
          <w:bCs/>
          <w:sz w:val="24"/>
          <w:szCs w:val="24"/>
          <w:rtl/>
        </w:rPr>
        <w:t>כמעסיקה</w:t>
      </w:r>
      <w:r w:rsidR="00F75756">
        <w:rPr>
          <w:rFonts w:ascii="David" w:hAnsi="David" w:cs="David" w:hint="cs"/>
          <w:sz w:val="24"/>
          <w:szCs w:val="24"/>
          <w:rtl/>
        </w:rPr>
        <w:t>,</w:t>
      </w:r>
      <w:r w:rsidR="00233C8B">
        <w:rPr>
          <w:rFonts w:ascii="David" w:hAnsi="David" w:cs="David" w:hint="cs"/>
          <w:sz w:val="24"/>
          <w:szCs w:val="24"/>
          <w:rtl/>
        </w:rPr>
        <w:t xml:space="preserve"> העניקה פרשנות נכונה להוראות החוק </w:t>
      </w:r>
      <w:proofErr w:type="spellStart"/>
      <w:r w:rsidR="00233C8B">
        <w:rPr>
          <w:rFonts w:ascii="David" w:hAnsi="David" w:cs="David" w:hint="cs"/>
          <w:sz w:val="24"/>
          <w:szCs w:val="24"/>
          <w:rtl/>
        </w:rPr>
        <w:t>והתקשי"ר</w:t>
      </w:r>
      <w:proofErr w:type="spellEnd"/>
      <w:r w:rsidR="00233C8B">
        <w:rPr>
          <w:rFonts w:ascii="David" w:hAnsi="David" w:cs="David" w:hint="cs"/>
          <w:sz w:val="24"/>
          <w:szCs w:val="24"/>
          <w:rtl/>
        </w:rPr>
        <w:t xml:space="preserve"> כאשר אסרה על עו"ד כהן להשתתף בהפגנות. </w:t>
      </w:r>
    </w:p>
    <w:p w:rsidR="00233C8B" w:rsidRDefault="00BB5B5D" w:rsidP="00B661FE">
      <w:pPr>
        <w:spacing w:before="240" w:after="240" w:line="360" w:lineRule="auto"/>
        <w:jc w:val="both"/>
        <w:rPr>
          <w:rFonts w:ascii="David" w:hAnsi="David" w:cs="David"/>
          <w:sz w:val="24"/>
          <w:szCs w:val="24"/>
          <w:rtl/>
        </w:rPr>
      </w:pPr>
      <w:r>
        <w:rPr>
          <w:rFonts w:ascii="David" w:hAnsi="David" w:cs="David" w:hint="cs"/>
          <w:sz w:val="24"/>
          <w:szCs w:val="24"/>
          <w:rtl/>
        </w:rPr>
        <w:t>באשר לעקרונות המנחים</w:t>
      </w:r>
      <w:r w:rsidR="00097FE1">
        <w:rPr>
          <w:rFonts w:ascii="David" w:hAnsi="David" w:cs="David" w:hint="cs"/>
          <w:sz w:val="24"/>
          <w:szCs w:val="24"/>
          <w:rtl/>
        </w:rPr>
        <w:t xml:space="preserve"> בבחינת השאלה הפרשנית שעמדה לפניו, הדגיש בית הדין הארצי כי "</w:t>
      </w:r>
      <w:r w:rsidR="00097FE1" w:rsidRPr="00097FE1">
        <w:rPr>
          <w:rFonts w:ascii="David" w:hAnsi="David" w:cs="David" w:hint="cs"/>
          <w:b/>
          <w:bCs/>
          <w:sz w:val="24"/>
          <w:szCs w:val="24"/>
          <w:rtl/>
        </w:rPr>
        <w:t>הזכות לחופש ביטוי היא זכות-על בשיטתנו</w:t>
      </w:r>
      <w:r w:rsidR="00097FE1">
        <w:rPr>
          <w:rFonts w:ascii="David" w:hAnsi="David" w:cs="David" w:hint="cs"/>
          <w:sz w:val="24"/>
          <w:szCs w:val="24"/>
          <w:rtl/>
        </w:rPr>
        <w:t>" וכי "</w:t>
      </w:r>
      <w:r w:rsidR="00097FE1" w:rsidRPr="00097FE1">
        <w:rPr>
          <w:rFonts w:ascii="David" w:hAnsi="David" w:cs="David" w:hint="cs"/>
          <w:b/>
          <w:bCs/>
          <w:sz w:val="24"/>
          <w:szCs w:val="24"/>
          <w:rtl/>
        </w:rPr>
        <w:t>ההגנה על חופש הביטוי נובעת מן ההכרה בחשיבותה של הבעת דעה להגשמתו העצמית של האדם</w:t>
      </w:r>
      <w:r w:rsidR="00097FE1">
        <w:rPr>
          <w:rFonts w:ascii="David" w:hAnsi="David" w:cs="David" w:hint="cs"/>
          <w:sz w:val="24"/>
          <w:szCs w:val="24"/>
          <w:rtl/>
        </w:rPr>
        <w:t>". בית הדין הארצי הוסיף כי "</w:t>
      </w:r>
      <w:r w:rsidR="00097FE1" w:rsidRPr="00097FE1">
        <w:rPr>
          <w:rFonts w:ascii="David" w:hAnsi="David" w:cs="David" w:hint="cs"/>
          <w:b/>
          <w:bCs/>
          <w:sz w:val="24"/>
          <w:szCs w:val="24"/>
          <w:rtl/>
        </w:rPr>
        <w:t>לחופש הביטוי הפוליטי בפרט, תינתן הגנה רחבה ביותר, וזאת מן הטעם שהוא מהווה תנאי הכרחי לקיומו של ההליך הדמוקרטי</w:t>
      </w:r>
      <w:r w:rsidR="00097FE1">
        <w:rPr>
          <w:rFonts w:ascii="David" w:hAnsi="David" w:cs="David" w:hint="cs"/>
          <w:sz w:val="24"/>
          <w:szCs w:val="24"/>
          <w:rtl/>
        </w:rPr>
        <w:t>"</w:t>
      </w:r>
      <w:r w:rsidR="00B661FE">
        <w:rPr>
          <w:rFonts w:ascii="David" w:hAnsi="David" w:cs="David" w:hint="cs"/>
          <w:sz w:val="24"/>
          <w:szCs w:val="24"/>
          <w:rtl/>
        </w:rPr>
        <w:t xml:space="preserve">. עם זאת, ציין בית הדין הארצי </w:t>
      </w:r>
      <w:r w:rsidR="00602C7D">
        <w:rPr>
          <w:rFonts w:ascii="David" w:hAnsi="David" w:cs="David" w:hint="cs"/>
          <w:sz w:val="24"/>
          <w:szCs w:val="24"/>
          <w:rtl/>
        </w:rPr>
        <w:t xml:space="preserve">כי </w:t>
      </w:r>
      <w:r w:rsidR="00B661FE">
        <w:rPr>
          <w:rFonts w:ascii="David" w:hAnsi="David" w:cs="David" w:hint="cs"/>
          <w:sz w:val="24"/>
          <w:szCs w:val="24"/>
          <w:rtl/>
        </w:rPr>
        <w:t>הזכות לחופש הביטוי</w:t>
      </w:r>
      <w:r w:rsidR="00602C7D">
        <w:rPr>
          <w:rFonts w:ascii="David" w:hAnsi="David" w:cs="David" w:hint="cs"/>
          <w:sz w:val="24"/>
          <w:szCs w:val="24"/>
          <w:rtl/>
        </w:rPr>
        <w:t xml:space="preserve"> אינה מוחלטת ויהיו פעמים בהן היא תיסוג מפני זכויות יסוד אחרות ואינטרסים חברתיים מוגנים</w:t>
      </w:r>
      <w:r w:rsidR="00B661FE">
        <w:rPr>
          <w:rFonts w:ascii="David" w:hAnsi="David" w:cs="David" w:hint="cs"/>
          <w:sz w:val="24"/>
          <w:szCs w:val="24"/>
          <w:rtl/>
        </w:rPr>
        <w:t>. בהקשר זה, צוינו</w:t>
      </w:r>
      <w:r w:rsidR="00602C7D">
        <w:rPr>
          <w:rFonts w:ascii="David" w:hAnsi="David" w:cs="David" w:hint="cs"/>
          <w:sz w:val="24"/>
          <w:szCs w:val="24"/>
          <w:rtl/>
        </w:rPr>
        <w:t xml:space="preserve"> </w:t>
      </w:r>
      <w:r w:rsidR="00B661FE">
        <w:rPr>
          <w:rFonts w:ascii="David" w:hAnsi="David" w:cs="David" w:hint="cs"/>
          <w:sz w:val="24"/>
          <w:szCs w:val="24"/>
          <w:rtl/>
        </w:rPr>
        <w:t>המבחנים שנקבעו בפסיקת בית ה</w:t>
      </w:r>
      <w:r w:rsidR="00F3078D">
        <w:rPr>
          <w:rFonts w:ascii="David" w:hAnsi="David" w:cs="David" w:hint="cs"/>
          <w:sz w:val="24"/>
          <w:szCs w:val="24"/>
          <w:rtl/>
        </w:rPr>
        <w:t>משפט</w:t>
      </w:r>
      <w:r w:rsidR="00B661FE">
        <w:rPr>
          <w:rFonts w:ascii="David" w:hAnsi="David" w:cs="David" w:hint="cs"/>
          <w:sz w:val="24"/>
          <w:szCs w:val="24"/>
          <w:rtl/>
        </w:rPr>
        <w:t xml:space="preserve"> העליון, לפיהם </w:t>
      </w:r>
      <w:r w:rsidR="00602C7D">
        <w:rPr>
          <w:rFonts w:ascii="David" w:hAnsi="David" w:cs="David" w:hint="cs"/>
          <w:sz w:val="24"/>
          <w:szCs w:val="24"/>
          <w:rtl/>
        </w:rPr>
        <w:t xml:space="preserve">חופש הביטוי </w:t>
      </w:r>
      <w:r w:rsidR="00B661FE">
        <w:rPr>
          <w:rFonts w:ascii="David" w:hAnsi="David" w:cs="David" w:hint="cs"/>
          <w:sz w:val="24"/>
          <w:szCs w:val="24"/>
          <w:rtl/>
        </w:rPr>
        <w:t xml:space="preserve">יוגבל </w:t>
      </w:r>
      <w:r w:rsidR="00602C7D">
        <w:rPr>
          <w:rFonts w:ascii="David" w:hAnsi="David" w:cs="David" w:hint="cs"/>
          <w:sz w:val="24"/>
          <w:szCs w:val="24"/>
          <w:rtl/>
        </w:rPr>
        <w:t xml:space="preserve">כאשר </w:t>
      </w:r>
      <w:r w:rsidR="00602C7D">
        <w:rPr>
          <w:rFonts w:ascii="David" w:hAnsi="David" w:cs="David" w:hint="cs"/>
          <w:sz w:val="24"/>
          <w:szCs w:val="24"/>
          <w:rtl/>
        </w:rPr>
        <w:lastRenderedPageBreak/>
        <w:t xml:space="preserve">הפגיעה הצפויה לאינטרס או לזכות המתנגשים בו תהא </w:t>
      </w:r>
      <w:r w:rsidR="00B661FE">
        <w:rPr>
          <w:rFonts w:ascii="David" w:hAnsi="David" w:cs="David" w:hint="cs"/>
          <w:sz w:val="24"/>
          <w:szCs w:val="24"/>
          <w:rtl/>
        </w:rPr>
        <w:t>"</w:t>
      </w:r>
      <w:r w:rsidR="00602C7D">
        <w:rPr>
          <w:rFonts w:ascii="David" w:hAnsi="David" w:cs="David" w:hint="cs"/>
          <w:sz w:val="24"/>
          <w:szCs w:val="24"/>
          <w:rtl/>
        </w:rPr>
        <w:t>קשה וממשית</w:t>
      </w:r>
      <w:r w:rsidR="00B661FE">
        <w:rPr>
          <w:rFonts w:ascii="David" w:hAnsi="David" w:cs="David" w:hint="cs"/>
          <w:sz w:val="24"/>
          <w:szCs w:val="24"/>
          <w:rtl/>
        </w:rPr>
        <w:t>"</w:t>
      </w:r>
      <w:r w:rsidR="00602C7D">
        <w:rPr>
          <w:rFonts w:ascii="David" w:hAnsi="David" w:cs="David" w:hint="cs"/>
          <w:sz w:val="24"/>
          <w:szCs w:val="24"/>
          <w:rtl/>
        </w:rPr>
        <w:t xml:space="preserve"> והסתברותה ברמה של "ודאות קרובה".</w:t>
      </w:r>
    </w:p>
    <w:p w:rsidR="000B62C3" w:rsidRDefault="00602C7D" w:rsidP="000B62C3">
      <w:pPr>
        <w:spacing w:before="240" w:after="240" w:line="360" w:lineRule="auto"/>
        <w:jc w:val="both"/>
        <w:rPr>
          <w:rFonts w:ascii="David" w:hAnsi="David" w:cs="David"/>
          <w:sz w:val="24"/>
          <w:szCs w:val="24"/>
          <w:rtl/>
        </w:rPr>
      </w:pPr>
      <w:r>
        <w:rPr>
          <w:rFonts w:ascii="David" w:hAnsi="David" w:cs="David" w:hint="cs"/>
          <w:sz w:val="24"/>
          <w:szCs w:val="24"/>
          <w:rtl/>
        </w:rPr>
        <w:t>בית הדי</w:t>
      </w:r>
      <w:r w:rsidR="00BB35D7">
        <w:rPr>
          <w:rFonts w:ascii="David" w:hAnsi="David" w:cs="David" w:hint="cs"/>
          <w:sz w:val="24"/>
          <w:szCs w:val="24"/>
          <w:rtl/>
        </w:rPr>
        <w:t xml:space="preserve">ן הארצי התייחס </w:t>
      </w:r>
      <w:r w:rsidR="00BB35D7" w:rsidRPr="00FE44A3">
        <w:rPr>
          <w:rFonts w:ascii="David" w:hAnsi="David" w:cs="David" w:hint="cs"/>
          <w:sz w:val="24"/>
          <w:szCs w:val="24"/>
          <w:u w:val="single"/>
          <w:rtl/>
        </w:rPr>
        <w:t>לזכות לחופש הביטוי במסגרת יחסי עבודה</w:t>
      </w:r>
      <w:r w:rsidR="00BB35D7">
        <w:rPr>
          <w:rFonts w:ascii="David" w:hAnsi="David" w:cs="David" w:hint="cs"/>
          <w:sz w:val="24"/>
          <w:szCs w:val="24"/>
          <w:rtl/>
        </w:rPr>
        <w:t xml:space="preserve"> וערך הבחנה בין היקף הזכות של עובדי המגזר הציבורי, לעומת עובדי המגזר הפרטי. בתוך כך, </w:t>
      </w:r>
      <w:r w:rsidR="00B661FE">
        <w:rPr>
          <w:rFonts w:ascii="David" w:hAnsi="David" w:cs="David" w:hint="cs"/>
          <w:sz w:val="24"/>
          <w:szCs w:val="24"/>
          <w:rtl/>
        </w:rPr>
        <w:t xml:space="preserve">סקר בית הדין הארצי את המגבלות החלות על חופש הביטוי של עובדי המדינה מכוח חוק הסיוג </w:t>
      </w:r>
      <w:proofErr w:type="spellStart"/>
      <w:r w:rsidR="00B661FE">
        <w:rPr>
          <w:rFonts w:ascii="David" w:hAnsi="David" w:cs="David" w:hint="cs"/>
          <w:sz w:val="24"/>
          <w:szCs w:val="24"/>
          <w:rtl/>
        </w:rPr>
        <w:t>והתקשי"ר</w:t>
      </w:r>
      <w:proofErr w:type="spellEnd"/>
      <w:r w:rsidR="00B661FE">
        <w:rPr>
          <w:rFonts w:ascii="David" w:hAnsi="David" w:cs="David" w:hint="cs"/>
          <w:sz w:val="24"/>
          <w:szCs w:val="24"/>
          <w:rtl/>
        </w:rPr>
        <w:t xml:space="preserve"> ובחן את תכליתו של החוק, בקבעו כי "</w:t>
      </w:r>
      <w:r w:rsidR="00B661FE">
        <w:rPr>
          <w:rFonts w:ascii="David" w:hAnsi="David" w:cs="David" w:hint="cs"/>
          <w:b/>
          <w:bCs/>
          <w:sz w:val="24"/>
          <w:szCs w:val="24"/>
          <w:rtl/>
        </w:rPr>
        <w:t>תכליתו של חוק הסיוג היא לשמור על ממלכתיות השירות הציבורי כשירות ניטרלי ואובייקטיבי, הפועל לטובת כלל האזרחים בשקיפות ובמקצועיות"</w:t>
      </w:r>
      <w:r w:rsidR="00B661FE">
        <w:rPr>
          <w:rFonts w:ascii="David" w:hAnsi="David" w:cs="David" w:hint="cs"/>
          <w:sz w:val="24"/>
          <w:szCs w:val="24"/>
          <w:rtl/>
        </w:rPr>
        <w:t>.</w:t>
      </w:r>
      <w:r w:rsidR="000B62C3">
        <w:rPr>
          <w:rFonts w:ascii="David" w:hAnsi="David" w:cs="David" w:hint="cs"/>
          <w:sz w:val="24"/>
          <w:szCs w:val="24"/>
          <w:rtl/>
        </w:rPr>
        <w:t xml:space="preserve"> </w:t>
      </w:r>
    </w:p>
    <w:p w:rsidR="00CB5B54" w:rsidRPr="00CB5B54" w:rsidRDefault="00CB5B54" w:rsidP="00BB17E5">
      <w:pPr>
        <w:spacing w:before="240" w:after="240" w:line="360" w:lineRule="auto"/>
        <w:jc w:val="both"/>
        <w:rPr>
          <w:rFonts w:ascii="David" w:hAnsi="David" w:cs="David"/>
          <w:b/>
          <w:bCs/>
          <w:sz w:val="24"/>
          <w:szCs w:val="24"/>
          <w:rtl/>
        </w:rPr>
      </w:pPr>
      <w:r>
        <w:rPr>
          <w:rFonts w:ascii="David" w:hAnsi="David" w:cs="David" w:hint="cs"/>
          <w:b/>
          <w:bCs/>
          <w:sz w:val="24"/>
          <w:szCs w:val="24"/>
          <w:u w:val="single"/>
          <w:rtl/>
        </w:rPr>
        <w:t>אשר למעמדם של עובדי השירות המשפטי</w:t>
      </w:r>
      <w:r>
        <w:rPr>
          <w:rFonts w:ascii="David" w:hAnsi="David" w:cs="David" w:hint="cs"/>
          <w:sz w:val="24"/>
          <w:szCs w:val="24"/>
          <w:u w:val="single"/>
          <w:rtl/>
        </w:rPr>
        <w:t xml:space="preserve"> </w:t>
      </w:r>
      <w:r>
        <w:rPr>
          <w:rFonts w:ascii="David" w:hAnsi="David" w:cs="David" w:hint="cs"/>
          <w:sz w:val="24"/>
          <w:szCs w:val="24"/>
          <w:rtl/>
        </w:rPr>
        <w:t xml:space="preserve">קבע בית הדין הארצי כי האיסור על השתתפותם בהפגנה בעלת "אופי מדיני" </w:t>
      </w:r>
      <w:r w:rsidRPr="00CB5B54">
        <w:rPr>
          <w:rFonts w:ascii="David" w:hAnsi="David" w:cs="David" w:hint="cs"/>
          <w:b/>
          <w:bCs/>
          <w:sz w:val="24"/>
          <w:szCs w:val="24"/>
          <w:rtl/>
        </w:rPr>
        <w:t>איננו מסויג</w:t>
      </w:r>
      <w:r>
        <w:rPr>
          <w:rFonts w:ascii="David" w:hAnsi="David" w:cs="David" w:hint="cs"/>
          <w:sz w:val="24"/>
          <w:szCs w:val="24"/>
          <w:rtl/>
        </w:rPr>
        <w:t xml:space="preserve">, וכי מדובר באיסור החל על </w:t>
      </w:r>
      <w:r w:rsidRPr="00CB5B54">
        <w:rPr>
          <w:rFonts w:ascii="David" w:hAnsi="David" w:cs="David" w:hint="cs"/>
          <w:b/>
          <w:bCs/>
          <w:sz w:val="24"/>
          <w:szCs w:val="24"/>
          <w:rtl/>
        </w:rPr>
        <w:t>כל</w:t>
      </w:r>
      <w:r w:rsidR="00F3078D" w:rsidRPr="006729CC">
        <w:rPr>
          <w:rFonts w:ascii="David" w:hAnsi="David" w:cs="David" w:hint="cs"/>
          <w:b/>
          <w:bCs/>
          <w:sz w:val="24"/>
          <w:szCs w:val="24"/>
          <w:rtl/>
        </w:rPr>
        <w:t>ל</w:t>
      </w:r>
      <w:r>
        <w:rPr>
          <w:rFonts w:ascii="David" w:hAnsi="David" w:cs="David" w:hint="cs"/>
          <w:sz w:val="24"/>
          <w:szCs w:val="24"/>
          <w:rtl/>
        </w:rPr>
        <w:t xml:space="preserve"> עובדי השירות המשפטי, "ללא קשר לבכירותם, לדרגתם ולסמכותם".  בית הדין הארצי הטעים כי השירות המשפטי בשירות המדינה הינו "</w:t>
      </w:r>
      <w:r>
        <w:rPr>
          <w:rFonts w:ascii="David" w:hAnsi="David" w:cs="David" w:hint="cs"/>
          <w:b/>
          <w:bCs/>
          <w:sz w:val="24"/>
          <w:szCs w:val="24"/>
          <w:rtl/>
        </w:rPr>
        <w:t>חלק ממערכת אכיפת החוק. ככזה, עליו להיות נטול פניות ואסור שיהא מזוהה עם עמדה פוליטית כזו או אחרת... האיסור הגורף החל על עובדי השירות המשפטי נועד לבצר את מעמדו של השירות המשפטי כאחד מעמודי התווך של שלטון החוק בישראל ולשמר את אמון הציבור במערכת אכיפת החוק. על עובדי השירות המשפטי להיות "עיוורים" לשיקולים</w:t>
      </w:r>
      <w:r w:rsidR="00E40C48">
        <w:rPr>
          <w:rFonts w:ascii="David" w:hAnsi="David" w:cs="David" w:hint="cs"/>
          <w:b/>
          <w:bCs/>
          <w:sz w:val="24"/>
          <w:szCs w:val="24"/>
          <w:rtl/>
        </w:rPr>
        <w:t xml:space="preserve"> פוליטיים או סקטוריאליים. תפקידם הוא לשרת את האינטרס של הציבור בכללותו. על כן, השתתפותו של עובד השירות המשפטי בהפגנה בעלת אופי מדיני מהווה גילוי דעת ומעידה על השתייכות פוליטית. משמעה, הלכה למעשה, הוא כי העובד אינו נטול פניות בבואו לייצג את האינטרס הציבורי הרחב". </w:t>
      </w:r>
    </w:p>
    <w:p w:rsidR="00BB17E5" w:rsidRDefault="00BB17E5" w:rsidP="00C77241">
      <w:pPr>
        <w:spacing w:before="240" w:after="240" w:line="360" w:lineRule="auto"/>
        <w:jc w:val="both"/>
        <w:rPr>
          <w:rFonts w:ascii="David" w:hAnsi="David" w:cs="David"/>
          <w:sz w:val="24"/>
          <w:szCs w:val="24"/>
          <w:rtl/>
        </w:rPr>
      </w:pPr>
      <w:r>
        <w:rPr>
          <w:rFonts w:ascii="David" w:hAnsi="David" w:cs="David" w:hint="cs"/>
          <w:b/>
          <w:bCs/>
          <w:sz w:val="24"/>
          <w:szCs w:val="24"/>
          <w:u w:val="single"/>
          <w:rtl/>
        </w:rPr>
        <w:t>בשאלה האם ההפגנות נגד תכנית הממשלה נכנסות בגדר המונח "אופי מדיני",</w:t>
      </w:r>
      <w:r w:rsidR="000B62C3">
        <w:rPr>
          <w:rFonts w:ascii="David" w:hAnsi="David" w:cs="David" w:hint="cs"/>
          <w:sz w:val="24"/>
          <w:szCs w:val="24"/>
          <w:rtl/>
        </w:rPr>
        <w:t xml:space="preserve"> </w:t>
      </w:r>
      <w:r>
        <w:rPr>
          <w:rFonts w:ascii="David" w:hAnsi="David" w:cs="David" w:hint="cs"/>
          <w:sz w:val="24"/>
          <w:szCs w:val="24"/>
          <w:rtl/>
        </w:rPr>
        <w:t>קבע בית הדין הארצי כי "</w:t>
      </w:r>
      <w:r w:rsidRPr="00BB17E5">
        <w:rPr>
          <w:rFonts w:ascii="David" w:hAnsi="David" w:cs="David" w:hint="cs"/>
          <w:b/>
          <w:bCs/>
          <w:sz w:val="24"/>
          <w:szCs w:val="24"/>
          <w:rtl/>
        </w:rPr>
        <w:t>לא ניתן לומר שההפגנות נגד תכנית הממשלה אינן בעלות "אופי מדיני", שכן הפגנות אלה נובעות</w:t>
      </w:r>
      <w:r w:rsidR="00C77241">
        <w:rPr>
          <w:rFonts w:ascii="David" w:hAnsi="David" w:cs="David" w:hint="cs"/>
          <w:b/>
          <w:bCs/>
          <w:sz w:val="24"/>
          <w:szCs w:val="24"/>
          <w:rtl/>
        </w:rPr>
        <w:t xml:space="preserve"> </w:t>
      </w:r>
      <w:r w:rsidRPr="00BB17E5">
        <w:rPr>
          <w:rFonts w:ascii="David" w:hAnsi="David" w:cs="David" w:hint="cs"/>
          <w:b/>
          <w:bCs/>
          <w:sz w:val="24"/>
          <w:szCs w:val="24"/>
          <w:rtl/>
        </w:rPr>
        <w:t>ממחלוקת פוליטית הנוגעת לשינויי חקיקה שמקדמת הממשלה</w:t>
      </w:r>
      <w:r>
        <w:rPr>
          <w:rFonts w:ascii="David" w:hAnsi="David" w:cs="David" w:hint="cs"/>
          <w:sz w:val="24"/>
          <w:szCs w:val="24"/>
          <w:rtl/>
        </w:rPr>
        <w:t xml:space="preserve">. משכך, בצדק קבע בית הדין האזורי כי "מחאת ההמונים היא בעלת גוון מדיני פוליטי" וכי "העניינים אותם מבקשות ההפגנות לקדם, או חלקם, הם עניינים בעלי אופי מדיני מובהק, שכן מעורבים בהם אינהרנטית נושאים המצויים במחלוקת פוליטית". </w:t>
      </w:r>
    </w:p>
    <w:p w:rsidR="002B79D8" w:rsidRPr="00BB17E5" w:rsidRDefault="00CB5B54" w:rsidP="00FE44A3">
      <w:pPr>
        <w:spacing w:before="240" w:after="240" w:line="360" w:lineRule="auto"/>
        <w:jc w:val="both"/>
        <w:rPr>
          <w:rFonts w:ascii="David" w:hAnsi="David" w:cs="David"/>
          <w:sz w:val="24"/>
          <w:szCs w:val="24"/>
          <w:rtl/>
        </w:rPr>
      </w:pPr>
      <w:r>
        <w:rPr>
          <w:rFonts w:ascii="David" w:hAnsi="David" w:cs="David" w:hint="cs"/>
          <w:b/>
          <w:bCs/>
          <w:sz w:val="24"/>
          <w:szCs w:val="24"/>
          <w:u w:val="single"/>
          <w:rtl/>
        </w:rPr>
        <w:t>ביחס</w:t>
      </w:r>
      <w:r w:rsidR="00BB17E5">
        <w:rPr>
          <w:rFonts w:ascii="David" w:hAnsi="David" w:cs="David" w:hint="cs"/>
          <w:b/>
          <w:bCs/>
          <w:sz w:val="24"/>
          <w:szCs w:val="24"/>
          <w:u w:val="single"/>
          <w:rtl/>
        </w:rPr>
        <w:t xml:space="preserve"> לעו"ד כהן</w:t>
      </w:r>
      <w:r w:rsidR="00BB17E5">
        <w:rPr>
          <w:rFonts w:ascii="David" w:hAnsi="David" w:cs="David" w:hint="cs"/>
          <w:sz w:val="24"/>
          <w:szCs w:val="24"/>
          <w:u w:val="single"/>
          <w:rtl/>
        </w:rPr>
        <w:t xml:space="preserve"> </w:t>
      </w:r>
      <w:r w:rsidR="00BB17E5">
        <w:rPr>
          <w:rFonts w:ascii="David" w:hAnsi="David" w:cs="David" w:hint="cs"/>
          <w:sz w:val="24"/>
          <w:szCs w:val="24"/>
          <w:rtl/>
        </w:rPr>
        <w:t xml:space="preserve">קבע בית הדין הארצי כי לאור תכליתו של חוק הסיוג, </w:t>
      </w:r>
      <w:r w:rsidR="00FE44A3">
        <w:rPr>
          <w:rFonts w:ascii="David" w:hAnsi="David" w:cs="David" w:hint="cs"/>
          <w:sz w:val="24"/>
          <w:szCs w:val="24"/>
          <w:rtl/>
        </w:rPr>
        <w:t>האיסור הגורף שהוא מטיל על עובדי השירות המשפטי להשתתף בהפגנות בעלות "אופי מדיני" והיותן של</w:t>
      </w:r>
      <w:r w:rsidR="00BB17E5">
        <w:rPr>
          <w:rFonts w:ascii="David" w:hAnsi="David" w:cs="David" w:hint="cs"/>
          <w:sz w:val="24"/>
          <w:szCs w:val="24"/>
          <w:rtl/>
        </w:rPr>
        <w:t xml:space="preserve"> ההפגנות נגד תכנית הממשלה בעלות "אופי מדיני", לא נפל פגם בהחלטת בית הדין האזורי שלא להתיר לו להשתתף בהפגנות. בית הדין הארצי הוסיף כי עו"ד כהן, המועסק כמעט שלושה עשורים כפרקליט, </w:t>
      </w:r>
      <w:r w:rsidR="00BB17E5" w:rsidRPr="00BB17E5">
        <w:rPr>
          <w:rFonts w:ascii="David" w:hAnsi="David" w:cs="David" w:hint="cs"/>
          <w:b/>
          <w:bCs/>
          <w:sz w:val="24"/>
          <w:szCs w:val="24"/>
          <w:rtl/>
        </w:rPr>
        <w:t>מזוהה עם הפרקליטות</w:t>
      </w:r>
      <w:r w:rsidR="00BB17E5">
        <w:rPr>
          <w:rFonts w:ascii="David" w:hAnsi="David" w:cs="David" w:hint="cs"/>
          <w:sz w:val="24"/>
          <w:szCs w:val="24"/>
          <w:rtl/>
        </w:rPr>
        <w:t xml:space="preserve"> וכי השתתפותו בהפגנות "</w:t>
      </w:r>
      <w:r w:rsidR="00BB17E5" w:rsidRPr="00BB17E5">
        <w:rPr>
          <w:rFonts w:ascii="David" w:hAnsi="David" w:cs="David" w:hint="cs"/>
          <w:b/>
          <w:bCs/>
          <w:sz w:val="24"/>
          <w:szCs w:val="24"/>
          <w:rtl/>
        </w:rPr>
        <w:t>עלולה לפגוע, בוודאות קרובה, במראית העין הניטרלית של השירות המשפטי</w:t>
      </w:r>
      <w:r w:rsidR="00BB17E5">
        <w:rPr>
          <w:rFonts w:ascii="David" w:hAnsi="David" w:cs="David" w:hint="cs"/>
          <w:b/>
          <w:bCs/>
          <w:sz w:val="24"/>
          <w:szCs w:val="24"/>
          <w:rtl/>
        </w:rPr>
        <w:t>. האמור נכון גם ביחס לעצם השתתפותם של עובדי השירות המשפטי בהפגנות, אפילו באופן אנונימי</w:t>
      </w:r>
      <w:r w:rsidR="00BB17E5">
        <w:rPr>
          <w:rFonts w:ascii="David" w:hAnsi="David" w:cs="David" w:hint="cs"/>
          <w:sz w:val="24"/>
          <w:szCs w:val="24"/>
          <w:rtl/>
        </w:rPr>
        <w:t xml:space="preserve">". </w:t>
      </w:r>
    </w:p>
    <w:p w:rsidR="00BB17E5" w:rsidRPr="00BB17E5" w:rsidRDefault="00BB17E5" w:rsidP="00BB17E5">
      <w:pPr>
        <w:spacing w:before="240" w:after="240" w:line="360" w:lineRule="auto"/>
        <w:jc w:val="both"/>
        <w:rPr>
          <w:rFonts w:ascii="David" w:hAnsi="David" w:cs="David"/>
          <w:b/>
          <w:bCs/>
          <w:sz w:val="24"/>
          <w:szCs w:val="24"/>
          <w:u w:val="single"/>
        </w:rPr>
      </w:pPr>
    </w:p>
    <w:sectPr w:rsidR="00BB17E5" w:rsidRPr="00BB17E5" w:rsidSect="0085511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B2C"/>
    <w:rsid w:val="000771BD"/>
    <w:rsid w:val="00097FE1"/>
    <w:rsid w:val="000B62C3"/>
    <w:rsid w:val="00233C8B"/>
    <w:rsid w:val="00262E9B"/>
    <w:rsid w:val="002B79D8"/>
    <w:rsid w:val="00331431"/>
    <w:rsid w:val="00422E41"/>
    <w:rsid w:val="00532F24"/>
    <w:rsid w:val="00602C7D"/>
    <w:rsid w:val="006729CC"/>
    <w:rsid w:val="00855113"/>
    <w:rsid w:val="00856B2C"/>
    <w:rsid w:val="00867AAD"/>
    <w:rsid w:val="00B661FE"/>
    <w:rsid w:val="00B72C63"/>
    <w:rsid w:val="00B845E3"/>
    <w:rsid w:val="00BB17E5"/>
    <w:rsid w:val="00BB35D7"/>
    <w:rsid w:val="00BB5B5D"/>
    <w:rsid w:val="00C77241"/>
    <w:rsid w:val="00CB5B54"/>
    <w:rsid w:val="00DA33D6"/>
    <w:rsid w:val="00DE6C03"/>
    <w:rsid w:val="00E40C48"/>
    <w:rsid w:val="00F3078D"/>
    <w:rsid w:val="00F75756"/>
    <w:rsid w:val="00FE44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B743A0-45F8-450D-9D3C-7D79C14A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2C"/>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29CC"/>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6729CC"/>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3951</Characters>
  <Application>Microsoft Office Word</Application>
  <DocSecurity>0</DocSecurity>
  <Lines>65</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מעין אמיר</dc:creator>
  <cp:keywords/>
  <dc:description/>
  <cp:lastModifiedBy>גרמאו מנגיסטו</cp:lastModifiedBy>
  <cp:revision>2</cp:revision>
  <cp:lastPrinted>2023-06-25T06:41:00Z</cp:lastPrinted>
  <dcterms:created xsi:type="dcterms:W3CDTF">2023-06-26T08:01:00Z</dcterms:created>
  <dcterms:modified xsi:type="dcterms:W3CDTF">2023-06-26T08:01:00Z</dcterms:modified>
</cp:coreProperties>
</file>